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8B1CB0">
      <w:pPr>
        <w:bidi w:val="0"/>
        <w:spacing w:line="240" w:lineRule="auto"/>
        <w:ind w:firstLine="280" w:firstLineChars="100"/>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附件2</w:t>
      </w:r>
    </w:p>
    <w:p w14:paraId="084EC8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center"/>
        <w:textAlignment w:val="auto"/>
        <w:rPr>
          <w:rFonts w:hint="eastAsia" w:asciiTheme="majorEastAsia" w:hAnsiTheme="majorEastAsia" w:eastAsiaTheme="majorEastAsia" w:cstheme="majorEastAsia"/>
          <w:b/>
          <w:bCs/>
          <w:sz w:val="44"/>
          <w:lang w:val="en-US" w:eastAsia="zh-CN"/>
        </w:rPr>
      </w:pPr>
      <w:r>
        <w:rPr>
          <w:rFonts w:hint="eastAsia" w:asciiTheme="majorEastAsia" w:hAnsiTheme="majorEastAsia" w:eastAsiaTheme="majorEastAsia" w:cstheme="majorEastAsia"/>
          <w:b/>
          <w:bCs/>
          <w:sz w:val="44"/>
          <w:lang w:val="en-US" w:eastAsia="zh-CN"/>
        </w:rPr>
        <w:t>中介机构备选入库需求和基本要求表</w:t>
      </w:r>
    </w:p>
    <w:p w14:paraId="301E96B0">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宋体" w:cs="仿宋_GB2312"/>
          <w:sz w:val="28"/>
          <w:szCs w:val="28"/>
          <w:lang w:val="en-US" w:eastAsia="zh-CN"/>
        </w:rPr>
      </w:pPr>
    </w:p>
    <w:tbl>
      <w:tblPr>
        <w:tblStyle w:val="2"/>
        <w:tblW w:w="5077" w:type="pct"/>
        <w:tblInd w:w="126" w:type="dxa"/>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shd w:val="clear" w:color="auto" w:fill="auto"/>
        <w:tblLayout w:type="fixed"/>
        <w:tblCellMar>
          <w:top w:w="0" w:type="dxa"/>
          <w:left w:w="108" w:type="dxa"/>
          <w:bottom w:w="0" w:type="dxa"/>
          <w:right w:w="108" w:type="dxa"/>
        </w:tblCellMar>
      </w:tblPr>
      <w:tblGrid>
        <w:gridCol w:w="1445"/>
        <w:gridCol w:w="2359"/>
        <w:gridCol w:w="2359"/>
        <w:gridCol w:w="968"/>
        <w:gridCol w:w="914"/>
        <w:gridCol w:w="2440"/>
        <w:gridCol w:w="2289"/>
        <w:gridCol w:w="1620"/>
      </w:tblGrid>
      <w:tr w14:paraId="5EFCAF2B">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shd w:val="clear" w:color="auto" w:fill="auto"/>
          <w:tblCellMar>
            <w:top w:w="0" w:type="dxa"/>
            <w:left w:w="108" w:type="dxa"/>
            <w:bottom w:w="0" w:type="dxa"/>
            <w:right w:w="108" w:type="dxa"/>
          </w:tblCellMar>
        </w:tblPrEx>
        <w:trPr>
          <w:trHeight w:val="1181" w:hRule="atLeast"/>
        </w:trPr>
        <w:tc>
          <w:tcPr>
            <w:tcW w:w="501" w:type="pct"/>
            <w:tcBorders>
              <w:bottom w:val="single" w:color="000000" w:sz="4" w:space="0"/>
            </w:tcBorders>
            <w:shd w:val="clear" w:color="auto" w:fill="auto"/>
            <w:vAlign w:val="center"/>
          </w:tcPr>
          <w:p w14:paraId="78DFCB9D">
            <w:pPr>
              <w:bidi w:val="0"/>
              <w:spacing w:line="440" w:lineRule="exact"/>
              <w:ind w:firstLine="0" w:firstLineChars="0"/>
              <w:jc w:val="center"/>
              <w:rPr>
                <w:rFonts w:hint="eastAsia" w:eastAsia="宋体"/>
                <w:sz w:val="21"/>
                <w:szCs w:val="21"/>
              </w:rPr>
            </w:pPr>
            <w:r>
              <w:rPr>
                <w:rFonts w:hint="eastAsia" w:eastAsia="宋体"/>
                <w:sz w:val="21"/>
                <w:szCs w:val="21"/>
                <w:lang w:val="en-US" w:eastAsia="zh-CN"/>
              </w:rPr>
              <w:t>中介类别</w:t>
            </w:r>
          </w:p>
        </w:tc>
        <w:tc>
          <w:tcPr>
            <w:tcW w:w="819" w:type="pct"/>
            <w:tcBorders>
              <w:bottom w:val="single" w:color="000000" w:sz="4" w:space="0"/>
            </w:tcBorders>
            <w:shd w:val="clear" w:color="auto" w:fill="auto"/>
            <w:vAlign w:val="center"/>
          </w:tcPr>
          <w:p w14:paraId="216D0375">
            <w:pPr>
              <w:bidi w:val="0"/>
              <w:spacing w:line="440" w:lineRule="exact"/>
              <w:ind w:firstLine="0" w:firstLineChars="0"/>
              <w:jc w:val="center"/>
              <w:rPr>
                <w:rFonts w:hint="eastAsia" w:eastAsia="宋体"/>
                <w:sz w:val="21"/>
                <w:szCs w:val="21"/>
              </w:rPr>
            </w:pPr>
            <w:r>
              <w:rPr>
                <w:rFonts w:hint="eastAsia" w:eastAsia="宋体"/>
                <w:sz w:val="21"/>
                <w:szCs w:val="21"/>
                <w:lang w:val="en-US" w:eastAsia="zh-CN"/>
              </w:rPr>
              <w:t>服务内容</w:t>
            </w:r>
          </w:p>
        </w:tc>
        <w:tc>
          <w:tcPr>
            <w:tcW w:w="819" w:type="pct"/>
            <w:tcBorders>
              <w:bottom w:val="single" w:color="000000" w:sz="4" w:space="0"/>
            </w:tcBorders>
            <w:shd w:val="clear" w:color="auto" w:fill="auto"/>
            <w:vAlign w:val="center"/>
          </w:tcPr>
          <w:p w14:paraId="01FD6883">
            <w:pPr>
              <w:bidi w:val="0"/>
              <w:spacing w:line="440" w:lineRule="exact"/>
              <w:ind w:firstLine="0" w:firstLineChars="0"/>
              <w:jc w:val="center"/>
              <w:rPr>
                <w:rFonts w:hint="eastAsia" w:eastAsia="宋体"/>
                <w:sz w:val="21"/>
                <w:szCs w:val="21"/>
              </w:rPr>
            </w:pPr>
            <w:r>
              <w:rPr>
                <w:rFonts w:hint="eastAsia" w:eastAsia="宋体"/>
                <w:sz w:val="21"/>
                <w:szCs w:val="21"/>
                <w:lang w:val="en-US" w:eastAsia="zh-CN"/>
              </w:rPr>
              <w:t>资质、资格要求</w:t>
            </w:r>
          </w:p>
        </w:tc>
        <w:tc>
          <w:tcPr>
            <w:tcW w:w="336" w:type="pct"/>
            <w:tcBorders>
              <w:bottom w:val="single" w:color="000000" w:sz="4" w:space="0"/>
            </w:tcBorders>
            <w:shd w:val="clear" w:color="auto" w:fill="auto"/>
            <w:vAlign w:val="center"/>
          </w:tcPr>
          <w:p w14:paraId="4A3FF4E1">
            <w:pPr>
              <w:bidi w:val="0"/>
              <w:spacing w:line="440" w:lineRule="exact"/>
              <w:ind w:firstLine="0" w:firstLineChars="0"/>
              <w:jc w:val="center"/>
              <w:rPr>
                <w:rFonts w:hint="eastAsia" w:eastAsia="宋体"/>
                <w:sz w:val="21"/>
                <w:szCs w:val="21"/>
              </w:rPr>
            </w:pPr>
            <w:r>
              <w:rPr>
                <w:rFonts w:hint="eastAsia" w:eastAsia="宋体"/>
                <w:sz w:val="21"/>
                <w:szCs w:val="21"/>
                <w:lang w:val="en-US" w:eastAsia="zh-CN"/>
              </w:rPr>
              <w:t>需求数量(家)</w:t>
            </w:r>
          </w:p>
        </w:tc>
        <w:tc>
          <w:tcPr>
            <w:tcW w:w="317" w:type="pct"/>
            <w:tcBorders>
              <w:bottom w:val="single" w:color="000000" w:sz="4" w:space="0"/>
            </w:tcBorders>
            <w:shd w:val="clear" w:color="auto" w:fill="auto"/>
            <w:vAlign w:val="center"/>
          </w:tcPr>
          <w:p w14:paraId="0A6D177C">
            <w:pPr>
              <w:bidi w:val="0"/>
              <w:spacing w:line="440" w:lineRule="exact"/>
              <w:ind w:firstLine="0" w:firstLineChars="0"/>
              <w:jc w:val="center"/>
              <w:rPr>
                <w:rFonts w:hint="default" w:eastAsia="宋体"/>
                <w:sz w:val="21"/>
                <w:szCs w:val="21"/>
                <w:lang w:val="en-US"/>
              </w:rPr>
            </w:pPr>
            <w:r>
              <w:rPr>
                <w:rFonts w:hint="eastAsia" w:eastAsia="宋体"/>
                <w:sz w:val="21"/>
                <w:szCs w:val="21"/>
                <w:lang w:val="en-US" w:eastAsia="zh-CN"/>
              </w:rPr>
              <w:t>本次补充(家)</w:t>
            </w:r>
          </w:p>
        </w:tc>
        <w:tc>
          <w:tcPr>
            <w:tcW w:w="847" w:type="pct"/>
            <w:tcBorders>
              <w:bottom w:val="single" w:color="000000" w:sz="4" w:space="0"/>
            </w:tcBorders>
            <w:shd w:val="clear" w:color="auto" w:fill="auto"/>
            <w:vAlign w:val="center"/>
          </w:tcPr>
          <w:p w14:paraId="0A9922C1">
            <w:pPr>
              <w:bidi w:val="0"/>
              <w:spacing w:line="440" w:lineRule="exact"/>
              <w:ind w:firstLine="0" w:firstLineChars="0"/>
              <w:jc w:val="center"/>
              <w:rPr>
                <w:rFonts w:hint="eastAsia" w:eastAsia="宋体"/>
                <w:sz w:val="21"/>
                <w:szCs w:val="21"/>
              </w:rPr>
            </w:pPr>
            <w:r>
              <w:rPr>
                <w:rFonts w:hint="eastAsia" w:eastAsia="宋体"/>
                <w:sz w:val="21"/>
                <w:szCs w:val="21"/>
                <w:lang w:val="en-US" w:eastAsia="zh-CN"/>
              </w:rPr>
              <w:t>人员基本要求</w:t>
            </w:r>
            <w:r>
              <w:rPr>
                <w:rFonts w:hint="eastAsia" w:eastAsia="宋体"/>
                <w:sz w:val="21"/>
                <w:szCs w:val="21"/>
                <w:lang w:val="en-US" w:eastAsia="zh-CN"/>
              </w:rPr>
              <w:br w:type="textWrapping"/>
            </w:r>
            <w:r>
              <w:rPr>
                <w:rFonts w:hint="eastAsia" w:eastAsia="宋体"/>
                <w:sz w:val="21"/>
                <w:szCs w:val="21"/>
                <w:lang w:val="en-US" w:eastAsia="zh-CN"/>
              </w:rPr>
              <w:t>（自有人员）</w:t>
            </w:r>
          </w:p>
        </w:tc>
        <w:tc>
          <w:tcPr>
            <w:tcW w:w="795" w:type="pct"/>
            <w:tcBorders>
              <w:bottom w:val="single" w:color="000000" w:sz="4" w:space="0"/>
            </w:tcBorders>
            <w:shd w:val="clear" w:color="auto" w:fill="auto"/>
            <w:vAlign w:val="center"/>
          </w:tcPr>
          <w:p w14:paraId="23ACE8D7">
            <w:pPr>
              <w:bidi w:val="0"/>
              <w:spacing w:line="440" w:lineRule="exact"/>
              <w:ind w:firstLine="0" w:firstLineChars="0"/>
              <w:jc w:val="center"/>
              <w:rPr>
                <w:rFonts w:hint="eastAsia" w:eastAsia="宋体"/>
                <w:sz w:val="21"/>
                <w:szCs w:val="21"/>
              </w:rPr>
            </w:pPr>
            <w:r>
              <w:rPr>
                <w:rFonts w:hint="eastAsia" w:eastAsia="宋体"/>
                <w:sz w:val="21"/>
                <w:szCs w:val="21"/>
                <w:lang w:val="en-US" w:eastAsia="zh-CN"/>
              </w:rPr>
              <w:t>业绩基本要求</w:t>
            </w:r>
          </w:p>
        </w:tc>
        <w:tc>
          <w:tcPr>
            <w:tcW w:w="562" w:type="pct"/>
            <w:tcBorders>
              <w:bottom w:val="single" w:color="000000" w:sz="4" w:space="0"/>
            </w:tcBorders>
            <w:shd w:val="clear" w:color="auto" w:fill="auto"/>
            <w:vAlign w:val="center"/>
          </w:tcPr>
          <w:p w14:paraId="4D0E8BE5">
            <w:pPr>
              <w:bidi w:val="0"/>
              <w:spacing w:line="440" w:lineRule="exact"/>
              <w:ind w:firstLine="0" w:firstLineChars="0"/>
              <w:jc w:val="center"/>
              <w:rPr>
                <w:rFonts w:hint="eastAsia" w:eastAsia="宋体"/>
                <w:sz w:val="21"/>
                <w:szCs w:val="21"/>
              </w:rPr>
            </w:pPr>
            <w:r>
              <w:rPr>
                <w:rFonts w:hint="eastAsia" w:eastAsia="宋体"/>
                <w:sz w:val="21"/>
                <w:szCs w:val="21"/>
                <w:lang w:val="en-US" w:eastAsia="zh-CN"/>
              </w:rPr>
              <w:t>备注</w:t>
            </w:r>
          </w:p>
        </w:tc>
      </w:tr>
      <w:tr w14:paraId="5813678C">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shd w:val="clear" w:color="auto" w:fill="auto"/>
          <w:tblCellMar>
            <w:top w:w="0" w:type="dxa"/>
            <w:left w:w="108" w:type="dxa"/>
            <w:bottom w:w="0" w:type="dxa"/>
            <w:right w:w="108" w:type="dxa"/>
          </w:tblCellMar>
        </w:tblPrEx>
        <w:trPr>
          <w:trHeight w:val="3149" w:hRule="atLeast"/>
        </w:trPr>
        <w:tc>
          <w:tcPr>
            <w:tcW w:w="501" w:type="pct"/>
            <w:tcBorders>
              <w:top w:val="single" w:color="000000" w:sz="4" w:space="0"/>
              <w:tl2br w:val="nil"/>
              <w:tr2bl w:val="nil"/>
            </w:tcBorders>
            <w:shd w:val="clear" w:color="auto" w:fill="auto"/>
            <w:vAlign w:val="center"/>
          </w:tcPr>
          <w:p w14:paraId="61A54F6E">
            <w:pPr>
              <w:bidi w:val="0"/>
              <w:spacing w:line="44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资产评估</w:t>
            </w:r>
          </w:p>
        </w:tc>
        <w:tc>
          <w:tcPr>
            <w:tcW w:w="819" w:type="pct"/>
            <w:tcBorders>
              <w:top w:val="single" w:color="000000" w:sz="4" w:space="0"/>
              <w:tl2br w:val="nil"/>
              <w:tr2bl w:val="nil"/>
            </w:tcBorders>
            <w:shd w:val="clear" w:color="auto" w:fill="auto"/>
            <w:vAlign w:val="center"/>
          </w:tcPr>
          <w:p w14:paraId="076CC613">
            <w:pPr>
              <w:bidi w:val="0"/>
              <w:spacing w:line="440" w:lineRule="exact"/>
              <w:ind w:firstLine="0" w:firstLineChars="0"/>
              <w:rPr>
                <w:rFonts w:hint="eastAsia" w:ascii="宋体" w:hAnsi="宋体" w:eastAsia="宋体" w:cs="宋体"/>
                <w:sz w:val="21"/>
                <w:szCs w:val="21"/>
              </w:rPr>
            </w:pPr>
            <w:r>
              <w:rPr>
                <w:rFonts w:hint="eastAsia" w:ascii="宋体" w:hAnsi="宋体" w:eastAsia="宋体" w:cs="宋体"/>
                <w:sz w:val="21"/>
                <w:szCs w:val="21"/>
                <w:lang w:val="en-US" w:eastAsia="zh-CN"/>
              </w:rPr>
              <w:t>对不动产、动产、无形资产、企业价值、资产损失及其他经济权益进行评定、估算，并出具评估报告。</w:t>
            </w:r>
          </w:p>
        </w:tc>
        <w:tc>
          <w:tcPr>
            <w:tcW w:w="819" w:type="pct"/>
            <w:tcBorders>
              <w:top w:val="single" w:color="000000" w:sz="4" w:space="0"/>
              <w:tl2br w:val="nil"/>
              <w:tr2bl w:val="nil"/>
            </w:tcBorders>
            <w:shd w:val="clear" w:color="auto" w:fill="auto"/>
            <w:vAlign w:val="center"/>
          </w:tcPr>
          <w:p w14:paraId="3477BD45">
            <w:pPr>
              <w:bidi w:val="0"/>
              <w:spacing w:line="400" w:lineRule="exact"/>
              <w:ind w:firstLine="0" w:firstLineChars="0"/>
              <w:rPr>
                <w:rFonts w:hint="eastAsia" w:ascii="宋体" w:hAnsi="宋体" w:eastAsia="宋体" w:cs="宋体"/>
                <w:sz w:val="21"/>
                <w:szCs w:val="21"/>
              </w:rPr>
            </w:pPr>
            <w:r>
              <w:rPr>
                <w:rFonts w:hint="eastAsia" w:ascii="宋体" w:hAnsi="宋体" w:eastAsia="宋体" w:cs="宋体"/>
                <w:sz w:val="21"/>
                <w:szCs w:val="21"/>
                <w:lang w:val="en-US" w:eastAsia="zh-CN"/>
              </w:rPr>
              <w:t>须为中国资产评估协会（http://47.94.11.33:8035/HangYeXinXiChaXun/ziChanPingGuJiGouSelect）资产评估机构名录库内单位</w:t>
            </w:r>
            <w:r>
              <w:rPr>
                <w:rFonts w:hint="eastAsia" w:ascii="宋体" w:hAnsi="宋体" w:cs="宋体"/>
                <w:sz w:val="21"/>
                <w:szCs w:val="21"/>
                <w:lang w:val="en-US" w:eastAsia="zh-CN"/>
              </w:rPr>
              <w:t>（须提供</w:t>
            </w:r>
            <w:r>
              <w:rPr>
                <w:rFonts w:hint="eastAsia" w:ascii="宋体" w:hAnsi="宋体" w:eastAsia="宋体" w:cs="宋体"/>
                <w:i w:val="0"/>
                <w:iCs w:val="0"/>
                <w:color w:val="000000"/>
                <w:kern w:val="0"/>
                <w:sz w:val="21"/>
                <w:szCs w:val="21"/>
                <w:u w:val="none"/>
                <w:lang w:val="en-US" w:eastAsia="zh-CN" w:bidi="ar"/>
              </w:rPr>
              <w:t>网站获取的原始页面</w:t>
            </w:r>
            <w:r>
              <w:rPr>
                <w:rFonts w:hint="eastAsia" w:ascii="宋体" w:hAnsi="宋体" w:cs="宋体"/>
                <w:i w:val="0"/>
                <w:iCs w:val="0"/>
                <w:color w:val="000000"/>
                <w:kern w:val="0"/>
                <w:sz w:val="21"/>
                <w:szCs w:val="21"/>
                <w:u w:val="none"/>
                <w:lang w:val="en-US" w:eastAsia="zh-CN" w:bidi="ar"/>
              </w:rPr>
              <w:t>查询结果</w:t>
            </w:r>
            <w:r>
              <w:rPr>
                <w:rFonts w:hint="eastAsia" w:ascii="宋体" w:hAnsi="宋体" w:eastAsia="宋体" w:cs="宋体"/>
                <w:i w:val="0"/>
                <w:iCs w:val="0"/>
                <w:color w:val="000000"/>
                <w:kern w:val="0"/>
                <w:sz w:val="21"/>
                <w:szCs w:val="21"/>
                <w:u w:val="none"/>
                <w:lang w:val="en-US" w:eastAsia="zh-CN" w:bidi="ar"/>
              </w:rPr>
              <w:t>截</w:t>
            </w:r>
            <w:r>
              <w:rPr>
                <w:rFonts w:hint="eastAsia" w:ascii="宋体" w:hAnsi="宋体" w:cs="宋体"/>
                <w:i w:val="0"/>
                <w:iCs w:val="0"/>
                <w:color w:val="000000"/>
                <w:kern w:val="0"/>
                <w:sz w:val="21"/>
                <w:szCs w:val="21"/>
                <w:u w:val="none"/>
                <w:lang w:val="en-US" w:eastAsia="zh-CN" w:bidi="ar"/>
              </w:rPr>
              <w:t>图</w:t>
            </w:r>
            <w:r>
              <w:rPr>
                <w:rFonts w:hint="eastAsia" w:ascii="宋体" w:hAnsi="宋体" w:eastAsia="宋体" w:cs="宋体"/>
                <w:i w:val="0"/>
                <w:iCs w:val="0"/>
                <w:color w:val="000000"/>
                <w:kern w:val="0"/>
                <w:sz w:val="21"/>
                <w:szCs w:val="21"/>
                <w:u w:val="none"/>
                <w:lang w:val="en-US" w:eastAsia="zh-CN" w:bidi="ar"/>
              </w:rPr>
              <w:t>打印件</w:t>
            </w:r>
            <w:r>
              <w:rPr>
                <w:rFonts w:hint="eastAsia" w:ascii="宋体" w:hAnsi="宋体" w:cs="宋体"/>
                <w:sz w:val="21"/>
                <w:szCs w:val="21"/>
                <w:lang w:val="en-US" w:eastAsia="zh-CN"/>
              </w:rPr>
              <w:t>）</w:t>
            </w:r>
          </w:p>
        </w:tc>
        <w:tc>
          <w:tcPr>
            <w:tcW w:w="336" w:type="pct"/>
            <w:tcBorders>
              <w:top w:val="single" w:color="000000" w:sz="4" w:space="0"/>
              <w:tl2br w:val="nil"/>
              <w:tr2bl w:val="nil"/>
            </w:tcBorders>
            <w:shd w:val="clear" w:color="auto" w:fill="auto"/>
            <w:vAlign w:val="center"/>
          </w:tcPr>
          <w:p w14:paraId="10B06128">
            <w:pPr>
              <w:bidi w:val="0"/>
              <w:spacing w:line="440" w:lineRule="exact"/>
              <w:ind w:firstLine="0" w:firstLineChars="0"/>
              <w:jc w:val="center"/>
              <w:rPr>
                <w:rFonts w:hint="eastAsia" w:ascii="宋体" w:hAnsi="宋体" w:eastAsia="宋体" w:cs="宋体"/>
                <w:sz w:val="21"/>
                <w:szCs w:val="21"/>
                <w:lang w:val="en-US"/>
              </w:rPr>
            </w:pPr>
            <w:r>
              <w:rPr>
                <w:rFonts w:hint="eastAsia" w:ascii="宋体" w:hAnsi="宋体" w:eastAsia="宋体" w:cs="宋体"/>
                <w:sz w:val="21"/>
                <w:szCs w:val="21"/>
                <w:lang w:val="en-US" w:eastAsia="zh-CN"/>
              </w:rPr>
              <w:t>10</w:t>
            </w:r>
          </w:p>
        </w:tc>
        <w:tc>
          <w:tcPr>
            <w:tcW w:w="317" w:type="pct"/>
            <w:tcBorders>
              <w:top w:val="single" w:color="000000" w:sz="4" w:space="0"/>
              <w:tl2br w:val="nil"/>
              <w:tr2bl w:val="nil"/>
            </w:tcBorders>
            <w:shd w:val="clear" w:color="auto" w:fill="auto"/>
            <w:vAlign w:val="center"/>
          </w:tcPr>
          <w:p w14:paraId="191294D8">
            <w:pPr>
              <w:bidi w:val="0"/>
              <w:spacing w:line="440" w:lineRule="exact"/>
              <w:ind w:firstLine="0" w:firstLineChars="0"/>
              <w:jc w:val="center"/>
              <w:rPr>
                <w:rFonts w:hint="eastAsia" w:ascii="宋体" w:hAnsi="宋体" w:eastAsia="宋体" w:cs="宋体"/>
                <w:sz w:val="21"/>
                <w:szCs w:val="21"/>
                <w:lang w:val="en-US"/>
              </w:rPr>
            </w:pPr>
            <w:r>
              <w:rPr>
                <w:rFonts w:hint="eastAsia" w:ascii="宋体" w:hAnsi="宋体" w:cs="宋体"/>
                <w:sz w:val="21"/>
                <w:szCs w:val="21"/>
                <w:lang w:val="en-US" w:eastAsia="zh-CN"/>
              </w:rPr>
              <w:t>6</w:t>
            </w:r>
          </w:p>
        </w:tc>
        <w:tc>
          <w:tcPr>
            <w:tcW w:w="847" w:type="pct"/>
            <w:tcBorders>
              <w:top w:val="single" w:color="000000" w:sz="4" w:space="0"/>
              <w:tl2br w:val="nil"/>
              <w:tr2bl w:val="nil"/>
            </w:tcBorders>
            <w:shd w:val="clear" w:color="auto" w:fill="auto"/>
            <w:vAlign w:val="center"/>
          </w:tcPr>
          <w:p w14:paraId="602C4662">
            <w:pPr>
              <w:bidi w:val="0"/>
              <w:spacing w:line="440" w:lineRule="exact"/>
              <w:ind w:firstLine="0" w:firstLineChars="0"/>
              <w:rPr>
                <w:rFonts w:hint="eastAsia" w:ascii="宋体" w:hAnsi="宋体" w:eastAsia="宋体" w:cs="宋体"/>
                <w:sz w:val="21"/>
                <w:szCs w:val="21"/>
              </w:rPr>
            </w:pPr>
            <w:r>
              <w:rPr>
                <w:rFonts w:hint="eastAsia" w:ascii="宋体" w:hAnsi="宋体" w:eastAsia="宋体" w:cs="宋体"/>
                <w:sz w:val="21"/>
                <w:szCs w:val="21"/>
                <w:highlight w:val="none"/>
                <w:lang w:val="en-US" w:eastAsia="zh-CN"/>
              </w:rPr>
              <w:t>拥有不少于7名专职从事于资产评估专业工作的人员，其中具有中级及以上技术职称或注册资产评估师执业资格的不得少于2人。（提供有关证书复印件）</w:t>
            </w:r>
          </w:p>
        </w:tc>
        <w:tc>
          <w:tcPr>
            <w:tcW w:w="795" w:type="pct"/>
            <w:tcBorders>
              <w:top w:val="single" w:color="000000" w:sz="4" w:space="0"/>
              <w:tl2br w:val="nil"/>
              <w:tr2bl w:val="nil"/>
            </w:tcBorders>
            <w:shd w:val="clear" w:color="auto" w:fill="auto"/>
            <w:vAlign w:val="center"/>
          </w:tcPr>
          <w:p w14:paraId="08B5B729">
            <w:pPr>
              <w:bidi w:val="0"/>
              <w:spacing w:line="440" w:lineRule="exact"/>
              <w:ind w:firstLine="0" w:firstLineChars="0"/>
              <w:rPr>
                <w:rFonts w:hint="eastAsia" w:ascii="宋体" w:hAnsi="宋体" w:eastAsia="宋体" w:cs="宋体"/>
                <w:sz w:val="21"/>
                <w:szCs w:val="21"/>
              </w:rPr>
            </w:pPr>
            <w:r>
              <w:rPr>
                <w:rFonts w:hint="eastAsia" w:ascii="宋体" w:hAnsi="宋体" w:eastAsia="宋体" w:cs="宋体"/>
                <w:sz w:val="21"/>
                <w:szCs w:val="21"/>
                <w:highlight w:val="none"/>
                <w:lang w:val="en-US" w:eastAsia="zh-CN"/>
              </w:rPr>
              <w:t>近5年来至少独立完成过3个项目金额100万元（含）以上的资产评估服务项目。（提供资产评估</w:t>
            </w:r>
            <w:r>
              <w:rPr>
                <w:rFonts w:hint="eastAsia" w:ascii="宋体" w:hAnsi="宋体" w:cs="宋体"/>
                <w:color w:val="000000" w:themeColor="text1"/>
                <w:sz w:val="21"/>
                <w:szCs w:val="21"/>
                <w:highlight w:val="none"/>
                <w:lang w:val="en-US" w:eastAsia="zh-CN"/>
                <w14:textFill>
                  <w14:solidFill>
                    <w14:schemeClr w14:val="tx1"/>
                  </w14:solidFill>
                </w14:textFill>
              </w:rPr>
              <w:t>委托</w:t>
            </w:r>
            <w:r>
              <w:rPr>
                <w:rFonts w:hint="eastAsia" w:ascii="宋体" w:hAnsi="宋体" w:eastAsia="宋体" w:cs="宋体"/>
                <w:sz w:val="21"/>
                <w:szCs w:val="21"/>
                <w:highlight w:val="none"/>
                <w:lang w:val="en-US" w:eastAsia="zh-CN"/>
              </w:rPr>
              <w:t>合同复印件、</w:t>
            </w:r>
            <w:r>
              <w:rPr>
                <w:rFonts w:hint="eastAsia" w:ascii="宋体" w:hAnsi="宋体" w:cs="宋体"/>
                <w:sz w:val="21"/>
                <w:szCs w:val="21"/>
                <w:highlight w:val="none"/>
                <w:lang w:val="en-US" w:eastAsia="zh-CN"/>
              </w:rPr>
              <w:t>中国资产评估协会出具的资产评估业务报告备案回执</w:t>
            </w:r>
            <w:r>
              <w:rPr>
                <w:rFonts w:hint="eastAsia" w:ascii="宋体" w:hAnsi="宋体" w:eastAsia="宋体" w:cs="宋体"/>
                <w:sz w:val="21"/>
                <w:szCs w:val="21"/>
                <w:highlight w:val="none"/>
                <w:lang w:val="en-US" w:eastAsia="zh-CN"/>
              </w:rPr>
              <w:t>）</w:t>
            </w:r>
          </w:p>
        </w:tc>
        <w:tc>
          <w:tcPr>
            <w:tcW w:w="562" w:type="pct"/>
            <w:tcBorders>
              <w:top w:val="single" w:color="000000" w:sz="4" w:space="0"/>
              <w:tl2br w:val="nil"/>
              <w:tr2bl w:val="nil"/>
            </w:tcBorders>
            <w:shd w:val="clear" w:color="auto" w:fill="auto"/>
            <w:vAlign w:val="center"/>
          </w:tcPr>
          <w:p w14:paraId="5159A993">
            <w:pPr>
              <w:bidi w:val="0"/>
              <w:spacing w:line="440" w:lineRule="exact"/>
              <w:ind w:firstLine="0" w:firstLineChars="0"/>
              <w:rPr>
                <w:rFonts w:hint="eastAsia" w:ascii="宋体" w:hAnsi="宋体" w:eastAsia="宋体" w:cs="宋体"/>
                <w:sz w:val="21"/>
                <w:szCs w:val="21"/>
                <w:lang w:val="en-US" w:eastAsia="zh-CN"/>
              </w:rPr>
            </w:pPr>
          </w:p>
        </w:tc>
      </w:tr>
      <w:tr w14:paraId="02B9373D">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shd w:val="clear" w:color="auto" w:fill="auto"/>
          <w:tblCellMar>
            <w:top w:w="0" w:type="dxa"/>
            <w:left w:w="108" w:type="dxa"/>
            <w:bottom w:w="0" w:type="dxa"/>
            <w:right w:w="108" w:type="dxa"/>
          </w:tblCellMar>
        </w:tblPrEx>
        <w:trPr>
          <w:trHeight w:val="1380" w:hRule="atLeast"/>
        </w:trPr>
        <w:tc>
          <w:tcPr>
            <w:tcW w:w="5000" w:type="pct"/>
            <w:gridSpan w:val="8"/>
            <w:tcBorders>
              <w:top w:val="single" w:color="auto" w:sz="4" w:space="0"/>
              <w:tl2br w:val="nil"/>
              <w:tr2bl w:val="nil"/>
            </w:tcBorders>
            <w:shd w:val="clear" w:color="auto" w:fill="auto"/>
            <w:vAlign w:val="top"/>
          </w:tcPr>
          <w:p w14:paraId="005705A3">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注：</w:t>
            </w:r>
          </w:p>
          <w:p w14:paraId="4E0EE70A">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eastAsia" w:eastAsia="宋体"/>
                <w:sz w:val="21"/>
                <w:szCs w:val="21"/>
              </w:rPr>
            </w:pPr>
            <w:r>
              <w:rPr>
                <w:rFonts w:hint="eastAsia" w:ascii="Times New Roman" w:hAnsi="Times New Roman" w:eastAsia="宋体" w:cs="Times New Roman"/>
                <w:sz w:val="21"/>
                <w:szCs w:val="21"/>
                <w:highlight w:val="none"/>
                <w:lang w:val="en-US" w:eastAsia="zh-CN"/>
              </w:rPr>
              <w:t>1、上述涉及相关网站的网址及页面截屏，网站域名应为“.gov.cn”为后缀的英文域名或“中国招标投标公共服务平台”或项目所在地省级电子招标投标公共服务平台网址，否则一律按证明资料不齐处理</w:t>
            </w:r>
            <w:r>
              <w:rPr>
                <w:rFonts w:hint="eastAsia" w:cs="Times New Roman"/>
                <w:sz w:val="21"/>
                <w:szCs w:val="21"/>
                <w:highlight w:val="none"/>
                <w:lang w:val="en-US" w:eastAsia="zh-CN"/>
              </w:rPr>
              <w:t>。</w:t>
            </w:r>
            <w:r>
              <w:rPr>
                <w:rFonts w:hint="eastAsia" w:ascii="Times New Roman" w:hAnsi="Times New Roman" w:eastAsia="宋体" w:cs="Times New Roman"/>
                <w:sz w:val="21"/>
                <w:szCs w:val="21"/>
                <w:highlight w:val="none"/>
                <w:lang w:val="en-US" w:eastAsia="zh-CN"/>
              </w:rPr>
              <w:br w:type="textWrapping"/>
            </w:r>
            <w:r>
              <w:rPr>
                <w:rFonts w:hint="eastAsia" w:ascii="Times New Roman" w:hAnsi="Times New Roman" w:eastAsia="宋体" w:cs="Times New Roman"/>
                <w:sz w:val="21"/>
                <w:szCs w:val="21"/>
                <w:highlight w:val="none"/>
                <w:lang w:val="en-US" w:eastAsia="zh-CN"/>
              </w:rPr>
              <w:t>2、人员基本要求中的人员必须为企业自有人员，须提供发布公告前连续3个月的社保缴纳证明</w:t>
            </w:r>
            <w:r>
              <w:rPr>
                <w:rFonts w:hint="eastAsia" w:cs="Times New Roman"/>
                <w:sz w:val="21"/>
                <w:szCs w:val="21"/>
                <w:highlight w:val="none"/>
                <w:lang w:val="en-US" w:eastAsia="zh-CN"/>
              </w:rPr>
              <w:t>。</w:t>
            </w:r>
            <w:r>
              <w:rPr>
                <w:rFonts w:hint="eastAsia" w:ascii="Times New Roman" w:hAnsi="Times New Roman" w:eastAsia="宋体" w:cs="Times New Roman"/>
                <w:sz w:val="21"/>
                <w:szCs w:val="21"/>
                <w:highlight w:val="none"/>
                <w:lang w:val="en-US" w:eastAsia="zh-CN"/>
              </w:rPr>
              <w:br w:type="textWrapping"/>
            </w:r>
            <w:r>
              <w:rPr>
                <w:rFonts w:hint="eastAsia" w:ascii="Times New Roman" w:hAnsi="Times New Roman" w:eastAsia="宋体" w:cs="Times New Roman"/>
                <w:sz w:val="21"/>
                <w:szCs w:val="21"/>
                <w:highlight w:val="none"/>
                <w:lang w:val="en-US" w:eastAsia="zh-CN"/>
              </w:rPr>
              <w:t>3、以上复印件均须提供原件备查（原件在报名提交材料时可不提供，若有需提供时我司将另行通知）</w:t>
            </w:r>
            <w:r>
              <w:rPr>
                <w:rFonts w:hint="eastAsia" w:cs="Times New Roman"/>
                <w:sz w:val="21"/>
                <w:szCs w:val="21"/>
                <w:highlight w:val="none"/>
                <w:lang w:val="en-US" w:eastAsia="zh-CN"/>
              </w:rPr>
              <w:t>。</w:t>
            </w:r>
            <w:bookmarkStart w:id="0" w:name="_GoBack"/>
            <w:bookmarkEnd w:id="0"/>
          </w:p>
        </w:tc>
      </w:tr>
    </w:tbl>
    <w:p w14:paraId="795FBA1A">
      <w:pPr>
        <w:keepNext w:val="0"/>
        <w:keepLines w:val="0"/>
        <w:pageBreakBefore w:val="0"/>
        <w:widowControl w:val="0"/>
        <w:kinsoku/>
        <w:wordWrap/>
        <w:overflowPunct/>
        <w:topLinePunct w:val="0"/>
        <w:autoSpaceDE/>
        <w:autoSpaceDN/>
        <w:bidi w:val="0"/>
        <w:adjustRightInd/>
        <w:snapToGrid/>
        <w:spacing w:line="100" w:lineRule="exact"/>
        <w:textAlignment w:val="auto"/>
        <w:rPr>
          <w:sz w:val="112"/>
          <w:szCs w:val="112"/>
        </w:rPr>
      </w:pP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3MjcwNmIwZTYzNTRjNjY0YzFlMzNjY2VkOGY1YjQifQ=="/>
  </w:docVars>
  <w:rsids>
    <w:rsidRoot w:val="00000000"/>
    <w:rsid w:val="01187755"/>
    <w:rsid w:val="08003DC4"/>
    <w:rsid w:val="0AB713EB"/>
    <w:rsid w:val="0B9239F8"/>
    <w:rsid w:val="0F4C5A9A"/>
    <w:rsid w:val="141B67D0"/>
    <w:rsid w:val="165A5BC7"/>
    <w:rsid w:val="1B1D0797"/>
    <w:rsid w:val="1C0770DF"/>
    <w:rsid w:val="21EA1F4B"/>
    <w:rsid w:val="28FF05B6"/>
    <w:rsid w:val="295E3016"/>
    <w:rsid w:val="29B1174C"/>
    <w:rsid w:val="2AD01F26"/>
    <w:rsid w:val="2B7F1994"/>
    <w:rsid w:val="359A477B"/>
    <w:rsid w:val="3C4D2ED4"/>
    <w:rsid w:val="3CED44AC"/>
    <w:rsid w:val="415723CD"/>
    <w:rsid w:val="48B16C52"/>
    <w:rsid w:val="49425A28"/>
    <w:rsid w:val="4A543958"/>
    <w:rsid w:val="4AFE7DC8"/>
    <w:rsid w:val="4E2B425A"/>
    <w:rsid w:val="5619314C"/>
    <w:rsid w:val="58791C73"/>
    <w:rsid w:val="5D4A33F5"/>
    <w:rsid w:val="61D1646C"/>
    <w:rsid w:val="6271065C"/>
    <w:rsid w:val="650704BC"/>
    <w:rsid w:val="657635CE"/>
    <w:rsid w:val="65964BE8"/>
    <w:rsid w:val="67750DD5"/>
    <w:rsid w:val="717E5AD0"/>
    <w:rsid w:val="74857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0" w:firstLineChars="0"/>
      <w:jc w:val="both"/>
    </w:pPr>
    <w:rPr>
      <w:rFonts w:ascii="Times New Roman" w:hAnsi="Times New Roman" w:eastAsia="宋体" w:cstheme="minorBidi"/>
      <w:kern w:val="2"/>
      <w:sz w:val="2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 w:type="character" w:customStyle="1" w:styleId="5">
    <w:name w:val="font51"/>
    <w:basedOn w:val="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488</Words>
  <Characters>561</Characters>
  <Lines>0</Lines>
  <Paragraphs>0</Paragraphs>
  <TotalTime>58</TotalTime>
  <ScaleCrop>false</ScaleCrop>
  <LinksUpToDate>false</LinksUpToDate>
  <CharactersWithSpaces>561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2024-05-22T03:49:00Z</dcterms:created>
  <dc:creator>LENOVO</dc:creator>
  <cp:lastModifiedBy>cyh</cp:lastModifiedBy>
  <cp:lastPrinted>2026-04-22T02:47:00Z</cp:lastPrinted>
  <dcterms:modified xsi:type="dcterms:W3CDTF">2026-04-24T06:54:31Z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58793059AB574E1ABFDA8900314587B5_12</vt:lpwstr>
  </property>
  <property fmtid="{D5CDD505-2E9C-101B-9397-08002B2CF9AE}" pid="4" name="KSOTemplateDocerSaveRecord">
    <vt:lpwstr>eyJoZGlkIjoiYzU3MjcwNmIwZTYzNTRjNjY0YzFlMzNjY2VkOGY1YjQiLCJ1c2VySWQiOiI2ODA5MzI2MjQifQ==</vt:lpwstr>
  </property>
</Properties>
</file>